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51"/>
        <w:tblW w:w="0" w:type="auto"/>
        <w:tblLook w:val="04A0" w:firstRow="1" w:lastRow="0" w:firstColumn="1" w:lastColumn="0" w:noHBand="0" w:noVBand="1"/>
      </w:tblPr>
      <w:tblGrid>
        <w:gridCol w:w="1418"/>
        <w:gridCol w:w="7644"/>
      </w:tblGrid>
      <w:tr w:rsidR="00260171" w:rsidTr="00C71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171" w:rsidRDefault="00260171" w:rsidP="00C71E13">
            <w:pPr>
              <w:spacing w:before="120" w:line="360" w:lineRule="auto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i w:val="0"/>
                <w:color w:val="000000" w:themeColor="text1"/>
                <w:sz w:val="22"/>
              </w:rPr>
              <w:t xml:space="preserve">Abbildung 2: </w:t>
            </w:r>
            <w:r w:rsidRPr="00B1485C">
              <w:rPr>
                <w:rFonts w:ascii="Arial Narrow" w:hAnsi="Arial Narrow" w:cstheme="minorHAnsi"/>
                <w:i w:val="0"/>
                <w:color w:val="000000" w:themeColor="text1"/>
                <w:sz w:val="22"/>
              </w:rPr>
              <w:t>Exemplarisches TT-Vorhaben:</w:t>
            </w:r>
          </w:p>
        </w:tc>
      </w:tr>
      <w:tr w:rsidR="00260171" w:rsidRPr="00B1485C" w:rsidTr="00C71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</w:tcPr>
          <w:p w:rsidR="00260171" w:rsidRPr="00B1485C" w:rsidRDefault="00260171" w:rsidP="00C71E13">
            <w:pPr>
              <w:spacing w:before="120" w:line="360" w:lineRule="auto"/>
              <w:jc w:val="both"/>
              <w:rPr>
                <w:rFonts w:ascii="Arial Narrow" w:hAnsi="Arial Narrow" w:cstheme="minorHAnsi"/>
                <w:i w:val="0"/>
                <w:color w:val="000000" w:themeColor="text1"/>
              </w:rPr>
            </w:pPr>
            <w:r w:rsidRPr="00B1485C">
              <w:rPr>
                <w:rFonts w:ascii="Arial Narrow" w:hAnsi="Arial Narrow" w:cstheme="minorHAnsi"/>
                <w:i w:val="0"/>
                <w:iCs w:val="0"/>
                <w:color w:val="000000" w:themeColor="text1"/>
                <w:sz w:val="22"/>
              </w:rPr>
              <w:t>1.</w:t>
            </w:r>
            <w:r w:rsidRPr="00B1485C">
              <w:rPr>
                <w:rFonts w:ascii="Arial Narrow" w:hAnsi="Arial Narrow" w:cstheme="minorHAnsi"/>
                <w:i w:val="0"/>
                <w:color w:val="000000" w:themeColor="text1"/>
                <w:sz w:val="22"/>
              </w:rPr>
              <w:t xml:space="preserve"> Einheit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260171" w:rsidRPr="00B1485C" w:rsidRDefault="00260171" w:rsidP="00260171">
            <w:pPr>
              <w:numPr>
                <w:ilvl w:val="0"/>
                <w:numId w:val="1"/>
              </w:numPr>
              <w:tabs>
                <w:tab w:val="clear" w:pos="360"/>
                <w:tab w:val="num" w:pos="605"/>
              </w:tabs>
              <w:spacing w:before="120" w:after="0" w:line="240" w:lineRule="auto"/>
              <w:ind w:left="329" w:hanging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</w:rPr>
              <w:t>Überblick zum Unterrichtsvorhaben („Advance Organizer“, siehe Abbildung unten)</w:t>
            </w:r>
          </w:p>
          <w:p w:rsidR="00260171" w:rsidRPr="00B1485C" w:rsidRDefault="00260171" w:rsidP="00260171">
            <w:pPr>
              <w:numPr>
                <w:ilvl w:val="0"/>
                <w:numId w:val="1"/>
              </w:numPr>
              <w:tabs>
                <w:tab w:val="clear" w:pos="360"/>
                <w:tab w:val="num" w:pos="605"/>
              </w:tabs>
              <w:spacing w:after="0" w:line="240" w:lineRule="auto"/>
              <w:ind w:left="328" w:hanging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B1485C">
              <w:rPr>
                <w:rFonts w:ascii="Arial Narrow" w:hAnsi="Arial Narrow" w:cs="Arial"/>
                <w:bCs/>
              </w:rPr>
              <w:t xml:space="preserve">Entwicklung des Ballgefühls: </w:t>
            </w:r>
            <w:r w:rsidRPr="00B1485C">
              <w:rPr>
                <w:rFonts w:ascii="Arial Narrow" w:hAnsi="Arial Narrow" w:cs="Arial"/>
              </w:rPr>
              <w:t xml:space="preserve">Aufwärmen und erste </w:t>
            </w:r>
            <w:r w:rsidRPr="00B1485C">
              <w:rPr>
                <w:rFonts w:ascii="Arial Narrow" w:hAnsi="Arial Narrow" w:cs="Arial"/>
                <w:bCs/>
              </w:rPr>
              <w:t xml:space="preserve">Erfahrungen mit Ball, Schläger, </w:t>
            </w:r>
            <w:r>
              <w:rPr>
                <w:rFonts w:ascii="Arial Narrow" w:hAnsi="Arial Narrow" w:cs="Arial"/>
                <w:bCs/>
              </w:rPr>
              <w:t xml:space="preserve">ggf. auch </w:t>
            </w:r>
            <w:r w:rsidRPr="00B1485C">
              <w:rPr>
                <w:rFonts w:ascii="Arial Narrow" w:hAnsi="Arial Narrow" w:cs="Arial"/>
                <w:bCs/>
              </w:rPr>
              <w:t>Schlägerhaltung</w:t>
            </w:r>
            <w:r>
              <w:rPr>
                <w:rFonts w:ascii="Arial Narrow" w:hAnsi="Arial Narrow" w:cs="Arial"/>
                <w:bCs/>
              </w:rPr>
              <w:t xml:space="preserve"> für Fortgeschrittene</w:t>
            </w:r>
          </w:p>
          <w:p w:rsidR="00260171" w:rsidRPr="00014650" w:rsidRDefault="00260171" w:rsidP="00260171">
            <w:pPr>
              <w:numPr>
                <w:ilvl w:val="0"/>
                <w:numId w:val="1"/>
              </w:numPr>
              <w:tabs>
                <w:tab w:val="clear" w:pos="360"/>
                <w:tab w:val="num" w:pos="605"/>
              </w:tabs>
              <w:spacing w:after="0" w:line="240" w:lineRule="auto"/>
              <w:ind w:left="328" w:hanging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</w:rPr>
              <w:t>Übungen und Spiele</w:t>
            </w:r>
            <w:r w:rsidRPr="00C23D2F">
              <w:rPr>
                <w:rFonts w:ascii="Arial Narrow" w:hAnsi="Arial Narrow" w:cs="Arial"/>
                <w:bCs/>
              </w:rPr>
              <w:t xml:space="preserve"> mit Rh-Schup</w:t>
            </w:r>
            <w:r>
              <w:rPr>
                <w:rFonts w:ascii="Arial Narrow" w:hAnsi="Arial Narrow" w:cs="Arial"/>
                <w:bCs/>
              </w:rPr>
              <w:t>fen am Tisch – erste Feedbackgespräche.</w:t>
            </w:r>
          </w:p>
          <w:p w:rsidR="00260171" w:rsidRPr="000C43C5" w:rsidRDefault="00260171" w:rsidP="00260171">
            <w:pPr>
              <w:numPr>
                <w:ilvl w:val="0"/>
                <w:numId w:val="1"/>
              </w:numPr>
              <w:tabs>
                <w:tab w:val="clear" w:pos="360"/>
                <w:tab w:val="num" w:pos="605"/>
              </w:tabs>
              <w:spacing w:after="0" w:line="240" w:lineRule="auto"/>
              <w:ind w:left="328" w:hanging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</w:rPr>
              <w:t>Einsatz von Lernhilfen, um das Training bzw. den Unterricht spannender zu gestalten – Zählweisen, zusätzliches Material etc.</w:t>
            </w:r>
          </w:p>
          <w:p w:rsidR="00260171" w:rsidRPr="00B1485C" w:rsidRDefault="00260171" w:rsidP="00260171">
            <w:pPr>
              <w:numPr>
                <w:ilvl w:val="0"/>
                <w:numId w:val="1"/>
              </w:numPr>
              <w:tabs>
                <w:tab w:val="clear" w:pos="360"/>
                <w:tab w:val="num" w:pos="605"/>
              </w:tabs>
              <w:spacing w:after="0" w:line="240" w:lineRule="auto"/>
              <w:ind w:left="328" w:hanging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</w:rPr>
              <w:t xml:space="preserve">Spiel-/Wettkampfform (z.B. das Summenspiel) &amp; </w:t>
            </w:r>
            <w:r>
              <w:rPr>
                <w:rFonts w:ascii="Arial Narrow" w:hAnsi="Arial Narrow" w:cs="Arial"/>
              </w:rPr>
              <w:t>Abschlussreflexion</w:t>
            </w:r>
          </w:p>
        </w:tc>
      </w:tr>
      <w:tr w:rsidR="00260171" w:rsidRPr="00115937" w:rsidTr="00C71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</w:tcPr>
          <w:p w:rsidR="00260171" w:rsidRPr="00B1485C" w:rsidRDefault="00260171" w:rsidP="00C71E13">
            <w:pPr>
              <w:spacing w:before="120"/>
              <w:jc w:val="both"/>
              <w:rPr>
                <w:rFonts w:ascii="Arial Narrow" w:hAnsi="Arial Narrow" w:cstheme="minorHAnsi"/>
                <w:i w:val="0"/>
                <w:color w:val="000000" w:themeColor="text1"/>
                <w:sz w:val="22"/>
              </w:rPr>
            </w:pPr>
            <w:r>
              <w:rPr>
                <w:rFonts w:ascii="Arial Narrow" w:hAnsi="Arial Narrow" w:cstheme="minorHAnsi"/>
                <w:i w:val="0"/>
                <w:iCs w:val="0"/>
                <w:color w:val="000000" w:themeColor="text1"/>
                <w:sz w:val="22"/>
              </w:rPr>
              <w:t>2</w:t>
            </w:r>
            <w:r w:rsidRPr="00B1485C">
              <w:rPr>
                <w:rFonts w:ascii="Arial Narrow" w:hAnsi="Arial Narrow" w:cstheme="minorHAnsi"/>
                <w:i w:val="0"/>
                <w:iCs w:val="0"/>
                <w:color w:val="000000" w:themeColor="text1"/>
                <w:sz w:val="22"/>
              </w:rPr>
              <w:t>.</w:t>
            </w:r>
            <w:r w:rsidRPr="00B1485C">
              <w:rPr>
                <w:rFonts w:ascii="Arial Narrow" w:hAnsi="Arial Narrow" w:cstheme="minorHAnsi"/>
                <w:i w:val="0"/>
                <w:color w:val="000000" w:themeColor="text1"/>
                <w:sz w:val="22"/>
              </w:rPr>
              <w:t xml:space="preserve"> Einheit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260171" w:rsidRPr="00115937" w:rsidRDefault="00260171" w:rsidP="00260171">
            <w:pPr>
              <w:numPr>
                <w:ilvl w:val="0"/>
                <w:numId w:val="1"/>
              </w:numPr>
              <w:tabs>
                <w:tab w:val="clear" w:pos="360"/>
                <w:tab w:val="num" w:pos="605"/>
              </w:tabs>
              <w:spacing w:before="120" w:after="0" w:line="240" w:lineRule="auto"/>
              <w:ind w:left="328" w:hanging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115937">
              <w:rPr>
                <w:rFonts w:ascii="Arial Narrow" w:hAnsi="Arial Narrow" w:cs="Arial"/>
                <w:bCs/>
              </w:rPr>
              <w:t xml:space="preserve">Einfach-regelmäßige Übungen zum Schupfen. Ziel: Erreichen längerer Ballwechsel / Kombiniert regelmäßige Übungen: Schupfen </w:t>
            </w:r>
            <w:r>
              <w:rPr>
                <w:rFonts w:ascii="Arial Narrow" w:hAnsi="Arial Narrow" w:cs="Arial"/>
                <w:bCs/>
              </w:rPr>
              <w:t>versus</w:t>
            </w:r>
            <w:r w:rsidRPr="00115937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Pr="00115937">
              <w:rPr>
                <w:rFonts w:ascii="Arial Narrow" w:hAnsi="Arial Narrow" w:cs="Arial"/>
                <w:bCs/>
              </w:rPr>
              <w:t>Vh</w:t>
            </w:r>
            <w:proofErr w:type="spellEnd"/>
            <w:r w:rsidRPr="00115937">
              <w:rPr>
                <w:rFonts w:ascii="Arial Narrow" w:hAnsi="Arial Narrow" w:cs="Arial"/>
                <w:bCs/>
              </w:rPr>
              <w:t>-Topspin</w:t>
            </w:r>
          </w:p>
          <w:p w:rsidR="00260171" w:rsidRPr="005A5E0B" w:rsidRDefault="00260171" w:rsidP="00260171">
            <w:pPr>
              <w:numPr>
                <w:ilvl w:val="0"/>
                <w:numId w:val="1"/>
              </w:numPr>
              <w:tabs>
                <w:tab w:val="clear" w:pos="360"/>
                <w:tab w:val="num" w:pos="605"/>
              </w:tabs>
              <w:spacing w:after="0" w:line="240" w:lineRule="auto"/>
              <w:ind w:left="328" w:hanging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Üben an Lernstationen zum </w:t>
            </w:r>
            <w:proofErr w:type="spellStart"/>
            <w:r>
              <w:rPr>
                <w:rFonts w:ascii="Arial Narrow" w:hAnsi="Arial Narrow" w:cs="Arial"/>
                <w:bCs/>
              </w:rPr>
              <w:t>VhT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(siehe Klein-</w:t>
            </w:r>
            <w:proofErr w:type="spellStart"/>
            <w:r>
              <w:rPr>
                <w:rFonts w:ascii="Arial Narrow" w:hAnsi="Arial Narrow" w:cs="Arial"/>
                <w:bCs/>
              </w:rPr>
              <w:t>Soetebier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&amp; Klingen, 2019) </w:t>
            </w:r>
          </w:p>
          <w:p w:rsidR="00260171" w:rsidRDefault="00260171" w:rsidP="00260171">
            <w:pPr>
              <w:numPr>
                <w:ilvl w:val="0"/>
                <w:numId w:val="1"/>
              </w:numPr>
              <w:tabs>
                <w:tab w:val="clear" w:pos="360"/>
                <w:tab w:val="num" w:pos="605"/>
              </w:tabs>
              <w:spacing w:after="0" w:line="240" w:lineRule="auto"/>
              <w:ind w:left="328" w:hanging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Kenntnisse zu beiden Techniken – Was ist der „Sinn“ dieser Techniken? Wo liegen Unterschiede und Gemeinsamkeiten? Wann/warum kann ich welchen Schlag einsetzen?</w:t>
            </w:r>
          </w:p>
          <w:p w:rsidR="00260171" w:rsidRPr="00115937" w:rsidRDefault="00260171" w:rsidP="00260171">
            <w:pPr>
              <w:numPr>
                <w:ilvl w:val="0"/>
                <w:numId w:val="1"/>
              </w:numPr>
              <w:tabs>
                <w:tab w:val="clear" w:pos="360"/>
                <w:tab w:val="num" w:pos="605"/>
              </w:tabs>
              <w:spacing w:after="0" w:line="240" w:lineRule="auto"/>
              <w:ind w:left="328" w:hanging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Übungs- oder Wettkampfform: „Verflixte-7“ </w:t>
            </w:r>
          </w:p>
        </w:tc>
      </w:tr>
      <w:tr w:rsidR="00260171" w:rsidRPr="00B1485C" w:rsidTr="00C71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</w:tcPr>
          <w:p w:rsidR="00260171" w:rsidRPr="00B1485C" w:rsidRDefault="00260171" w:rsidP="00C71E13">
            <w:pPr>
              <w:spacing w:before="120" w:line="360" w:lineRule="auto"/>
              <w:jc w:val="both"/>
              <w:rPr>
                <w:rFonts w:ascii="Arial Narrow" w:hAnsi="Arial Narrow" w:cstheme="minorHAnsi"/>
                <w:i w:val="0"/>
                <w:color w:val="000000" w:themeColor="text1"/>
                <w:sz w:val="22"/>
              </w:rPr>
            </w:pPr>
            <w:r>
              <w:rPr>
                <w:rFonts w:ascii="Arial Narrow" w:hAnsi="Arial Narrow" w:cstheme="minorHAnsi"/>
                <w:i w:val="0"/>
                <w:iCs w:val="0"/>
                <w:color w:val="000000" w:themeColor="text1"/>
                <w:sz w:val="22"/>
              </w:rPr>
              <w:t>3</w:t>
            </w:r>
            <w:r w:rsidRPr="00B1485C">
              <w:rPr>
                <w:rFonts w:ascii="Arial Narrow" w:hAnsi="Arial Narrow" w:cstheme="minorHAnsi"/>
                <w:i w:val="0"/>
                <w:iCs w:val="0"/>
                <w:color w:val="000000" w:themeColor="text1"/>
                <w:sz w:val="22"/>
              </w:rPr>
              <w:t>.</w:t>
            </w:r>
            <w:r w:rsidRPr="00B1485C">
              <w:rPr>
                <w:rFonts w:ascii="Arial Narrow" w:hAnsi="Arial Narrow" w:cstheme="minorHAnsi"/>
                <w:i w:val="0"/>
                <w:color w:val="000000" w:themeColor="text1"/>
                <w:sz w:val="22"/>
              </w:rPr>
              <w:t xml:space="preserve"> Einheit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260171" w:rsidRPr="00115937" w:rsidRDefault="00260171" w:rsidP="00260171">
            <w:pPr>
              <w:numPr>
                <w:ilvl w:val="0"/>
                <w:numId w:val="1"/>
              </w:numPr>
              <w:tabs>
                <w:tab w:val="clear" w:pos="360"/>
                <w:tab w:val="num" w:pos="605"/>
              </w:tabs>
              <w:spacing w:before="120" w:after="0" w:line="240" w:lineRule="auto"/>
              <w:ind w:left="328" w:hanging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</w:rPr>
            </w:pPr>
            <w:r w:rsidRPr="004B4631">
              <w:rPr>
                <w:rFonts w:ascii="Arial Narrow" w:hAnsi="Arial Narrow" w:cs="Arial"/>
                <w:bCs/>
              </w:rPr>
              <w:t>Öffnung des Unterrichts für Freiarbeit</w:t>
            </w:r>
            <w:r>
              <w:rPr>
                <w:rFonts w:ascii="Arial Narrow" w:hAnsi="Arial Narrow" w:cs="Arial"/>
                <w:bCs/>
              </w:rPr>
              <w:t>. Die</w:t>
            </w:r>
            <w:r w:rsidRPr="004B4631">
              <w:rPr>
                <w:rFonts w:ascii="Arial Narrow" w:hAnsi="Arial Narrow" w:cs="Arial"/>
                <w:bCs/>
              </w:rPr>
              <w:t xml:space="preserve"> Schüler </w:t>
            </w:r>
            <w:r>
              <w:rPr>
                <w:rFonts w:ascii="Arial Narrow" w:hAnsi="Arial Narrow" w:cs="Arial"/>
                <w:bCs/>
              </w:rPr>
              <w:t>setzen sich eigenständig aus ihrer Sicht realistische</w:t>
            </w:r>
            <w:r w:rsidRPr="004B4631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Lernziele für diese UE</w:t>
            </w:r>
          </w:p>
          <w:p w:rsidR="00260171" w:rsidRPr="00115937" w:rsidRDefault="00260171" w:rsidP="00260171">
            <w:pPr>
              <w:numPr>
                <w:ilvl w:val="0"/>
                <w:numId w:val="1"/>
              </w:numPr>
              <w:tabs>
                <w:tab w:val="clear" w:pos="360"/>
                <w:tab w:val="num" w:pos="605"/>
              </w:tabs>
              <w:spacing w:after="0" w:line="240" w:lineRule="auto"/>
              <w:ind w:left="328" w:hanging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Lernziele können sein „</w:t>
            </w:r>
            <w:r>
              <w:rPr>
                <w:rFonts w:ascii="Arial Narrow" w:hAnsi="Arial Narrow" w:cs="Arial"/>
                <w:bCs/>
              </w:rPr>
              <w:t>Ich möchte heute den Rh-Schupf verbessern“ oder „</w:t>
            </w:r>
            <w:r w:rsidRPr="00115937">
              <w:rPr>
                <w:rFonts w:ascii="Arial Narrow" w:hAnsi="Arial Narrow" w:cs="Arial"/>
                <w:bCs/>
              </w:rPr>
              <w:t>Mit welchen Techniken können wir die meiste Rotation erzeugen?</w:t>
            </w:r>
            <w:r>
              <w:rPr>
                <w:rFonts w:ascii="Arial Narrow" w:hAnsi="Arial Narrow" w:cs="Arial"/>
                <w:bCs/>
              </w:rPr>
              <w:t>“</w:t>
            </w:r>
          </w:p>
          <w:p w:rsidR="00260171" w:rsidRPr="00115937" w:rsidRDefault="00260171" w:rsidP="00260171">
            <w:pPr>
              <w:numPr>
                <w:ilvl w:val="0"/>
                <w:numId w:val="1"/>
              </w:numPr>
              <w:tabs>
                <w:tab w:val="clear" w:pos="360"/>
                <w:tab w:val="num" w:pos="605"/>
              </w:tabs>
              <w:spacing w:after="0" w:line="240" w:lineRule="auto"/>
              <w:ind w:left="328" w:hanging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</w:rPr>
            </w:pPr>
            <w:r w:rsidRPr="002A0932">
              <w:rPr>
                <w:rFonts w:ascii="Arial Narrow" w:hAnsi="Arial Narrow" w:cs="Arial"/>
                <w:bCs/>
              </w:rPr>
              <w:t>Reflexionszeit in der Gruppe: „Was hat heute gut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2A0932">
              <w:rPr>
                <w:rFonts w:ascii="Arial Narrow" w:hAnsi="Arial Narrow" w:cs="Arial"/>
                <w:bCs/>
              </w:rPr>
              <w:t>- was weniger gut geklappt?“ „Was hat heute im zwischenmenschlichen Bereich gut/schlecht funktioniert?</w:t>
            </w:r>
            <w:r>
              <w:rPr>
                <w:rFonts w:ascii="Arial Narrow" w:hAnsi="Arial Narrow" w:cs="Arial"/>
                <w:bCs/>
              </w:rPr>
              <w:t>“</w:t>
            </w:r>
            <w:r w:rsidRPr="002A0932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„</w:t>
            </w:r>
            <w:r w:rsidRPr="002A0932">
              <w:rPr>
                <w:rFonts w:ascii="Arial Narrow" w:hAnsi="Arial Narrow" w:cs="Arial"/>
                <w:bCs/>
              </w:rPr>
              <w:t>W</w:t>
            </w:r>
            <w:r>
              <w:rPr>
                <w:rFonts w:ascii="Arial Narrow" w:hAnsi="Arial Narrow" w:cs="Arial"/>
                <w:bCs/>
              </w:rPr>
              <w:t xml:space="preserve">oran konnte man erkennen, ob </w:t>
            </w:r>
            <w:r w:rsidRPr="002A0932">
              <w:rPr>
                <w:rFonts w:ascii="Arial Narrow" w:hAnsi="Arial Narrow" w:cs="Arial"/>
                <w:bCs/>
              </w:rPr>
              <w:t>ihr heute hilfsbereit</w:t>
            </w:r>
            <w:r>
              <w:rPr>
                <w:rFonts w:ascii="Arial Narrow" w:hAnsi="Arial Narrow" w:cs="Arial"/>
                <w:bCs/>
              </w:rPr>
              <w:t>/</w:t>
            </w:r>
            <w:r w:rsidRPr="002A0932">
              <w:rPr>
                <w:rFonts w:ascii="Arial Narrow" w:hAnsi="Arial Narrow" w:cs="Arial"/>
                <w:bCs/>
              </w:rPr>
              <w:t>kritikfähig</w:t>
            </w:r>
            <w:r>
              <w:rPr>
                <w:rFonts w:ascii="Arial Narrow" w:hAnsi="Arial Narrow" w:cs="Arial"/>
                <w:bCs/>
              </w:rPr>
              <w:t xml:space="preserve"> wart</w:t>
            </w:r>
            <w:r w:rsidRPr="002A0932">
              <w:rPr>
                <w:rFonts w:ascii="Arial Narrow" w:hAnsi="Arial Narrow" w:cs="Arial"/>
                <w:bCs/>
              </w:rPr>
              <w:t>?</w:t>
            </w:r>
            <w:r>
              <w:rPr>
                <w:rFonts w:ascii="Arial Narrow" w:hAnsi="Arial Narrow" w:cs="Arial"/>
                <w:bCs/>
              </w:rPr>
              <w:t>“</w:t>
            </w:r>
          </w:p>
          <w:p w:rsidR="00260171" w:rsidRPr="00B1485C" w:rsidRDefault="00260171" w:rsidP="00260171">
            <w:pPr>
              <w:numPr>
                <w:ilvl w:val="0"/>
                <w:numId w:val="1"/>
              </w:numPr>
              <w:tabs>
                <w:tab w:val="clear" w:pos="360"/>
                <w:tab w:val="num" w:pos="605"/>
              </w:tabs>
              <w:spacing w:after="0" w:line="240" w:lineRule="auto"/>
              <w:ind w:left="328" w:hanging="3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="Arial"/>
                <w:bCs/>
              </w:rPr>
              <w:t>Spiel- und Wettkampfform: Rundlauf in Kleingruppen (6-7 Schüler) mit verschiedenen Regeln (z.B. nur mit einem Schläger pro Seite)</w:t>
            </w:r>
          </w:p>
        </w:tc>
      </w:tr>
      <w:tr w:rsidR="00260171" w:rsidRPr="00277938" w:rsidTr="00C71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</w:tcBorders>
          </w:tcPr>
          <w:p w:rsidR="00260171" w:rsidRPr="00B1485C" w:rsidRDefault="00260171" w:rsidP="00C71E13">
            <w:pPr>
              <w:spacing w:before="120" w:line="360" w:lineRule="auto"/>
              <w:jc w:val="both"/>
              <w:rPr>
                <w:rFonts w:ascii="Arial Narrow" w:hAnsi="Arial Narrow" w:cstheme="minorHAnsi"/>
                <w:i w:val="0"/>
                <w:color w:val="000000" w:themeColor="text1"/>
                <w:sz w:val="22"/>
              </w:rPr>
            </w:pPr>
            <w:r>
              <w:rPr>
                <w:rFonts w:ascii="Arial Narrow" w:hAnsi="Arial Narrow" w:cstheme="minorHAnsi"/>
                <w:i w:val="0"/>
                <w:iCs w:val="0"/>
                <w:color w:val="000000" w:themeColor="text1"/>
                <w:sz w:val="22"/>
              </w:rPr>
              <w:t>4</w:t>
            </w:r>
            <w:r w:rsidRPr="00B1485C">
              <w:rPr>
                <w:rFonts w:ascii="Arial Narrow" w:hAnsi="Arial Narrow" w:cstheme="minorHAnsi"/>
                <w:i w:val="0"/>
                <w:iCs w:val="0"/>
                <w:color w:val="000000" w:themeColor="text1"/>
                <w:sz w:val="22"/>
              </w:rPr>
              <w:t>.</w:t>
            </w:r>
            <w:r w:rsidRPr="00B1485C">
              <w:rPr>
                <w:rFonts w:ascii="Arial Narrow" w:hAnsi="Arial Narrow" w:cstheme="minorHAnsi"/>
                <w:i w:val="0"/>
                <w:color w:val="000000" w:themeColor="text1"/>
                <w:sz w:val="22"/>
              </w:rPr>
              <w:t xml:space="preserve"> Einheit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260171" w:rsidRDefault="00260171" w:rsidP="00260171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after="0" w:line="240" w:lineRule="auto"/>
              <w:ind w:left="328" w:hanging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Eigenständiges (Weiter-)Lernen anbahnen: Die Lehrkraft erklärt den Lernenden das sog. „Ballkistenformat“ zum Üben in 3er-/4er-Gruppen (u.a. Horsch, 2019)</w:t>
            </w:r>
          </w:p>
          <w:p w:rsidR="00260171" w:rsidRDefault="00260171" w:rsidP="0026017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29" w:hanging="3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Gruppenaufgaben: </w:t>
            </w:r>
            <w:r w:rsidRPr="00D019A6">
              <w:rPr>
                <w:rFonts w:ascii="Arial Narrow" w:hAnsi="Arial Narrow" w:cs="Arial"/>
                <w:bCs/>
              </w:rPr>
              <w:t>„</w:t>
            </w:r>
            <w:r>
              <w:rPr>
                <w:rFonts w:ascii="Arial Narrow" w:hAnsi="Arial Narrow" w:cs="Arial"/>
                <w:bCs/>
              </w:rPr>
              <w:t>W</w:t>
            </w:r>
            <w:r w:rsidRPr="00D019A6">
              <w:rPr>
                <w:rFonts w:ascii="Arial Narrow" w:hAnsi="Arial Narrow" w:cs="Arial"/>
                <w:bCs/>
              </w:rPr>
              <w:t xml:space="preserve">elcher Tisch schafft es die meisten Bälle </w:t>
            </w:r>
            <w:r>
              <w:rPr>
                <w:rFonts w:ascii="Arial Narrow" w:hAnsi="Arial Narrow" w:cs="Arial"/>
                <w:bCs/>
              </w:rPr>
              <w:t xml:space="preserve">innerhalb von einer Minute </w:t>
            </w:r>
            <w:r w:rsidRPr="00D019A6">
              <w:rPr>
                <w:rFonts w:ascii="Arial Narrow" w:hAnsi="Arial Narrow" w:cs="Arial"/>
                <w:bCs/>
              </w:rPr>
              <w:t>fehlerfrei zurückzuspielen</w:t>
            </w:r>
            <w:r>
              <w:rPr>
                <w:rFonts w:ascii="Arial Narrow" w:hAnsi="Arial Narrow" w:cs="Arial"/>
                <w:bCs/>
              </w:rPr>
              <w:t>?</w:t>
            </w:r>
            <w:r w:rsidRPr="00D019A6">
              <w:rPr>
                <w:rFonts w:ascii="Arial Narrow" w:hAnsi="Arial Narrow" w:cs="Arial"/>
                <w:bCs/>
              </w:rPr>
              <w:t xml:space="preserve">“ </w:t>
            </w:r>
            <w:r>
              <w:rPr>
                <w:rFonts w:ascii="Arial Narrow" w:hAnsi="Arial Narrow" w:cs="Arial"/>
                <w:bCs/>
              </w:rPr>
              <w:t>„W</w:t>
            </w:r>
            <w:r w:rsidRPr="00D019A6">
              <w:rPr>
                <w:rFonts w:ascii="Arial Narrow" w:hAnsi="Arial Narrow" w:cs="Arial"/>
                <w:bCs/>
              </w:rPr>
              <w:t>e</w:t>
            </w:r>
            <w:r>
              <w:rPr>
                <w:rFonts w:ascii="Arial Narrow" w:hAnsi="Arial Narrow" w:cs="Arial"/>
                <w:bCs/>
              </w:rPr>
              <w:t>lche</w:t>
            </w:r>
            <w:r w:rsidRPr="00D019A6">
              <w:rPr>
                <w:rFonts w:ascii="Arial Narrow" w:hAnsi="Arial Narrow" w:cs="Arial"/>
                <w:bCs/>
              </w:rPr>
              <w:t xml:space="preserve">r </w:t>
            </w:r>
            <w:r>
              <w:rPr>
                <w:rFonts w:ascii="Arial Narrow" w:hAnsi="Arial Narrow" w:cs="Arial"/>
                <w:bCs/>
              </w:rPr>
              <w:t xml:space="preserve">Tisch </w:t>
            </w:r>
            <w:r w:rsidRPr="00D019A6">
              <w:rPr>
                <w:rFonts w:ascii="Arial Narrow" w:hAnsi="Arial Narrow" w:cs="Arial"/>
                <w:bCs/>
              </w:rPr>
              <w:t xml:space="preserve">schafft es </w:t>
            </w:r>
            <w:r>
              <w:rPr>
                <w:rFonts w:ascii="Arial Narrow" w:hAnsi="Arial Narrow" w:cs="Arial"/>
                <w:bCs/>
              </w:rPr>
              <w:t>als erstes, die Ziele, die ich auf den Tisch gestellt habe, nacheinander umzuschießen?“ „Welcher Tisch entwickelt in den nächsten 3 Minuten die ‚coolste‘ Übung?“</w:t>
            </w:r>
            <w:r w:rsidRPr="00D019A6">
              <w:rPr>
                <w:rFonts w:ascii="Arial Narrow" w:hAnsi="Arial Narrow" w:cs="Arial"/>
                <w:bCs/>
              </w:rPr>
              <w:t>)</w:t>
            </w:r>
          </w:p>
          <w:p w:rsidR="00260171" w:rsidRPr="00277938" w:rsidRDefault="00260171" w:rsidP="0026017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29" w:hanging="3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115937">
              <w:rPr>
                <w:rFonts w:ascii="Arial Narrow" w:hAnsi="Arial Narrow" w:cs="Arial"/>
                <w:bCs/>
              </w:rPr>
              <w:t>Spiel-</w:t>
            </w:r>
            <w:r>
              <w:rPr>
                <w:rFonts w:ascii="Arial Narrow" w:hAnsi="Arial Narrow" w:cs="Arial"/>
                <w:bCs/>
              </w:rPr>
              <w:t>/</w:t>
            </w:r>
            <w:r w:rsidRPr="00115937">
              <w:rPr>
                <w:rFonts w:ascii="Arial Narrow" w:hAnsi="Arial Narrow" w:cs="Arial"/>
                <w:bCs/>
              </w:rPr>
              <w:t xml:space="preserve">Wettkampfform: </w:t>
            </w:r>
            <w:r>
              <w:rPr>
                <w:rFonts w:ascii="Arial Narrow" w:hAnsi="Arial Narrow" w:cs="Arial"/>
                <w:bCs/>
              </w:rPr>
              <w:t>„Teamballkiste“</w:t>
            </w:r>
            <w:r w:rsidRPr="00115937">
              <w:rPr>
                <w:rFonts w:ascii="Arial Narrow" w:hAnsi="Arial Narrow" w:cs="Arial"/>
                <w:bCs/>
              </w:rPr>
              <w:t xml:space="preserve"> (</w:t>
            </w:r>
            <w:r>
              <w:rPr>
                <w:rFonts w:ascii="Arial Narrow" w:hAnsi="Arial Narrow" w:cs="Arial"/>
                <w:bCs/>
              </w:rPr>
              <w:t xml:space="preserve">aus </w:t>
            </w:r>
            <w:r w:rsidRPr="00115937">
              <w:rPr>
                <w:rFonts w:ascii="Arial Narrow" w:hAnsi="Arial Narrow" w:cs="Arial"/>
                <w:bCs/>
              </w:rPr>
              <w:t>Friedrich &amp; Fürste, 2012</w:t>
            </w:r>
          </w:p>
        </w:tc>
      </w:tr>
      <w:tr w:rsidR="00260171" w:rsidRPr="00115937" w:rsidTr="00C71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60171" w:rsidRPr="00B1485C" w:rsidRDefault="00260171" w:rsidP="00C71E13">
            <w:pPr>
              <w:spacing w:before="120" w:line="360" w:lineRule="auto"/>
              <w:jc w:val="both"/>
              <w:rPr>
                <w:rFonts w:ascii="Arial Narrow" w:hAnsi="Arial Narrow" w:cstheme="minorHAnsi"/>
                <w:i w:val="0"/>
                <w:color w:val="000000" w:themeColor="text1"/>
                <w:sz w:val="22"/>
              </w:rPr>
            </w:pPr>
            <w:r>
              <w:rPr>
                <w:rFonts w:ascii="Arial Narrow" w:hAnsi="Arial Narrow" w:cstheme="minorHAnsi"/>
                <w:i w:val="0"/>
                <w:iCs w:val="0"/>
                <w:color w:val="000000" w:themeColor="text1"/>
                <w:sz w:val="22"/>
              </w:rPr>
              <w:t>5</w:t>
            </w:r>
            <w:r w:rsidRPr="00B1485C">
              <w:rPr>
                <w:rFonts w:ascii="Arial Narrow" w:hAnsi="Arial Narrow" w:cstheme="minorHAnsi"/>
                <w:i w:val="0"/>
                <w:iCs w:val="0"/>
                <w:color w:val="000000" w:themeColor="text1"/>
                <w:sz w:val="22"/>
              </w:rPr>
              <w:t>.</w:t>
            </w:r>
            <w:r w:rsidRPr="00B1485C">
              <w:rPr>
                <w:rFonts w:ascii="Arial Narrow" w:hAnsi="Arial Narrow" w:cstheme="minorHAnsi"/>
                <w:i w:val="0"/>
                <w:color w:val="000000" w:themeColor="text1"/>
                <w:sz w:val="22"/>
              </w:rPr>
              <w:t xml:space="preserve"> Einheit</w:t>
            </w:r>
          </w:p>
        </w:tc>
        <w:tc>
          <w:tcPr>
            <w:tcW w:w="7644" w:type="dxa"/>
            <w:tcBorders>
              <w:bottom w:val="single" w:sz="4" w:space="0" w:color="auto"/>
              <w:right w:val="single" w:sz="4" w:space="0" w:color="auto"/>
            </w:tcBorders>
          </w:tcPr>
          <w:p w:rsidR="00260171" w:rsidRDefault="00260171" w:rsidP="00260171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after="0" w:line="240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7962D2">
              <w:rPr>
                <w:rFonts w:ascii="Arial Narrow" w:hAnsi="Arial Narrow" w:cs="Arial"/>
                <w:bCs/>
              </w:rPr>
              <w:t>Lernziele: Die Lernenden erkennen die besondere Relevanz der Wahrnehmung im Tischtennis – Wie lassen sich einzelne Sinne gezielt nutzen?</w:t>
            </w:r>
          </w:p>
          <w:p w:rsidR="00260171" w:rsidRPr="007962D2" w:rsidRDefault="00260171" w:rsidP="0026017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Fokus auf das </w:t>
            </w:r>
            <w:r w:rsidRPr="007962D2">
              <w:rPr>
                <w:rFonts w:ascii="Arial Narrow" w:hAnsi="Arial Narrow" w:cs="Arial"/>
                <w:bCs/>
              </w:rPr>
              <w:t>Hören: „Höre einmal auf deine selbst erzeugten Geräusche“</w:t>
            </w:r>
            <w:r>
              <w:rPr>
                <w:rFonts w:ascii="Arial Narrow" w:hAnsi="Arial Narrow" w:cs="Arial"/>
                <w:bCs/>
              </w:rPr>
              <w:t xml:space="preserve">, das </w:t>
            </w:r>
            <w:r w:rsidRPr="007962D2">
              <w:rPr>
                <w:rFonts w:ascii="Arial Narrow" w:hAnsi="Arial Narrow" w:cs="Arial"/>
                <w:bCs/>
              </w:rPr>
              <w:t>Sehen: „Beobachte, wie dein Schlägerblatt vor dem Topspin steht – mehr offen – mehr geschlossen?“</w:t>
            </w:r>
            <w:r>
              <w:rPr>
                <w:rFonts w:ascii="Arial Narrow" w:hAnsi="Arial Narrow" w:cs="Arial"/>
                <w:bCs/>
              </w:rPr>
              <w:t>,</w:t>
            </w:r>
            <w:r w:rsidRPr="007962D2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das t</w:t>
            </w:r>
            <w:r w:rsidRPr="007962D2">
              <w:rPr>
                <w:rFonts w:ascii="Arial Narrow" w:hAnsi="Arial Narrow" w:cs="Arial"/>
                <w:bCs/>
              </w:rPr>
              <w:t>aktil</w:t>
            </w:r>
            <w:r>
              <w:rPr>
                <w:rFonts w:ascii="Arial Narrow" w:hAnsi="Arial Narrow" w:cs="Arial"/>
                <w:bCs/>
              </w:rPr>
              <w:t xml:space="preserve">e: </w:t>
            </w:r>
            <w:r w:rsidRPr="007962D2">
              <w:rPr>
                <w:rFonts w:ascii="Arial Narrow" w:hAnsi="Arial Narrow" w:cs="Arial"/>
                <w:bCs/>
              </w:rPr>
              <w:t xml:space="preserve">„Was verändert sich, wenn du den Schläger ganz fest, </w:t>
            </w:r>
            <w:r>
              <w:rPr>
                <w:rFonts w:ascii="Arial Narrow" w:hAnsi="Arial Narrow" w:cs="Arial"/>
                <w:bCs/>
              </w:rPr>
              <w:t>-</w:t>
            </w:r>
            <w:r w:rsidRPr="007962D2">
              <w:rPr>
                <w:rFonts w:ascii="Arial Narrow" w:hAnsi="Arial Narrow" w:cs="Arial"/>
                <w:bCs/>
              </w:rPr>
              <w:t xml:space="preserve"> ganz locker in der Hand hältst?“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Pr="007962D2">
              <w:rPr>
                <w:rFonts w:ascii="Arial Narrow" w:hAnsi="Arial Narrow" w:cs="Arial"/>
                <w:bCs/>
              </w:rPr>
              <w:t xml:space="preserve">Gleichgewicht: „Was passiert, wenn du dich </w:t>
            </w:r>
            <w:r>
              <w:rPr>
                <w:rFonts w:ascii="Arial Narrow" w:hAnsi="Arial Narrow" w:cs="Arial"/>
                <w:bCs/>
              </w:rPr>
              <w:t>beim Schlagen</w:t>
            </w:r>
            <w:r w:rsidRPr="007962D2">
              <w:rPr>
                <w:rFonts w:ascii="Arial Narrow" w:hAnsi="Arial Narrow" w:cs="Arial"/>
                <w:bCs/>
              </w:rPr>
              <w:t xml:space="preserve"> leicht nach vorne/hinten lehnst?“ </w:t>
            </w:r>
          </w:p>
          <w:p w:rsidR="00260171" w:rsidRDefault="00260171" w:rsidP="0026017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Abschlussbesprechung – Kritik, Anregungen, neue Ideen</w:t>
            </w:r>
          </w:p>
          <w:p w:rsidR="00260171" w:rsidRPr="00115937" w:rsidRDefault="00260171" w:rsidP="00260171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 w:line="240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115937">
              <w:rPr>
                <w:rFonts w:ascii="Arial Narrow" w:hAnsi="Arial Narrow" w:cs="Arial"/>
                <w:bCs/>
              </w:rPr>
              <w:t>Spiel-</w:t>
            </w:r>
            <w:r>
              <w:rPr>
                <w:rFonts w:ascii="Arial Narrow" w:hAnsi="Arial Narrow" w:cs="Arial"/>
                <w:bCs/>
              </w:rPr>
              <w:t>/</w:t>
            </w:r>
            <w:r w:rsidRPr="00115937">
              <w:rPr>
                <w:rFonts w:ascii="Arial Narrow" w:hAnsi="Arial Narrow" w:cs="Arial"/>
                <w:bCs/>
              </w:rPr>
              <w:t xml:space="preserve">Wettkampfform: </w:t>
            </w:r>
            <w:r>
              <w:rPr>
                <w:rFonts w:ascii="Arial Narrow" w:hAnsi="Arial Narrow" w:cs="Arial"/>
                <w:bCs/>
              </w:rPr>
              <w:t>„</w:t>
            </w:r>
            <w:r w:rsidRPr="00115937">
              <w:rPr>
                <w:rFonts w:ascii="Arial Narrow" w:hAnsi="Arial Narrow" w:cs="Arial"/>
                <w:bCs/>
              </w:rPr>
              <w:t>Kaisertisch/Königsspiel</w:t>
            </w:r>
            <w:r>
              <w:rPr>
                <w:rFonts w:ascii="Arial Narrow" w:hAnsi="Arial Narrow" w:cs="Arial"/>
                <w:bCs/>
              </w:rPr>
              <w:t>“</w:t>
            </w:r>
            <w:r w:rsidRPr="00115937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oder „</w:t>
            </w:r>
            <w:proofErr w:type="spellStart"/>
            <w:r w:rsidRPr="00115937">
              <w:rPr>
                <w:rFonts w:ascii="Arial Narrow" w:hAnsi="Arial Narrow" w:cs="Arial"/>
                <w:bCs/>
              </w:rPr>
              <w:t>Kreuzchenturnier</w:t>
            </w:r>
            <w:proofErr w:type="spellEnd"/>
            <w:r>
              <w:rPr>
                <w:rFonts w:ascii="Arial Narrow" w:hAnsi="Arial Narrow" w:cs="Arial"/>
                <w:bCs/>
              </w:rPr>
              <w:t>“</w:t>
            </w:r>
          </w:p>
        </w:tc>
      </w:tr>
    </w:tbl>
    <w:p w:rsidR="00F210F7" w:rsidRDefault="00F210F7">
      <w:bookmarkStart w:id="0" w:name="_GoBack"/>
      <w:bookmarkEnd w:id="0"/>
    </w:p>
    <w:sectPr w:rsidR="00F210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140D"/>
    <w:multiLevelType w:val="hybridMultilevel"/>
    <w:tmpl w:val="B0FA0B1C"/>
    <w:lvl w:ilvl="0" w:tplc="ABD6A0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71"/>
    <w:rsid w:val="00260171"/>
    <w:rsid w:val="00ED26E9"/>
    <w:rsid w:val="00F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8621-5ED0-4B18-B4F0-D6EAB2E8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6017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51">
    <w:name w:val="Einfache Tabelle 51"/>
    <w:basedOn w:val="NormaleTabelle"/>
    <w:uiPriority w:val="45"/>
    <w:rsid w:val="002601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Langen</dc:creator>
  <cp:keywords/>
  <dc:description/>
  <cp:lastModifiedBy>Martin Langen</cp:lastModifiedBy>
  <cp:revision>1</cp:revision>
  <dcterms:created xsi:type="dcterms:W3CDTF">2019-10-29T14:14:00Z</dcterms:created>
  <dcterms:modified xsi:type="dcterms:W3CDTF">2019-10-29T14:14:00Z</dcterms:modified>
</cp:coreProperties>
</file>